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83E" w:rsidRPr="00A8183E" w:rsidRDefault="00A8183E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A8183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</w:t>
      </w:r>
      <w:proofErr w:type="gramStart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OMISSIS  e</w:t>
      </w:r>
      <w:proofErr w:type="gramEnd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A8183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sottoli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neato a cura di </w:t>
      </w:r>
      <w:proofErr w:type="spellStart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Carteinregola</w:t>
      </w:r>
      <w:proofErr w:type="spellEnd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</w:t>
      </w:r>
      <w:r w:rsidR="00D226BB" w:rsidRPr="00D226B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A8183E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N. 05619/2012REG.PROV.COLL.</w:t>
      </w:r>
    </w:p>
    <w:p w:rsidR="00D226BB" w:rsidRP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en-US"/>
        </w:rPr>
      </w:pPr>
      <w:r w:rsidRPr="00D226BB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  <w:lang w:val="en-US"/>
        </w:rPr>
        <w:t>N. 10315/2005 REG.RIC.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kern w:val="0"/>
        </w:rPr>
      </w:pPr>
      <w:r>
        <w:rPr>
          <w:rFonts w:ascii="Garamond" w:hAnsi="Garamond" w:cs="Garamond"/>
          <w:b/>
          <w:bCs/>
          <w:color w:val="000000"/>
          <w:kern w:val="0"/>
        </w:rPr>
        <w:t xml:space="preserve">R E P U B </w:t>
      </w:r>
      <w:proofErr w:type="spellStart"/>
      <w:r>
        <w:rPr>
          <w:rFonts w:ascii="Garamond" w:hAnsi="Garamond" w:cs="Garamond"/>
          <w:b/>
          <w:bCs/>
          <w:color w:val="000000"/>
          <w:kern w:val="0"/>
        </w:rPr>
        <w:t>B</w:t>
      </w:r>
      <w:proofErr w:type="spellEnd"/>
      <w:r>
        <w:rPr>
          <w:rFonts w:ascii="Garamond" w:hAnsi="Garamond" w:cs="Garamond"/>
          <w:b/>
          <w:bCs/>
          <w:color w:val="000000"/>
          <w:kern w:val="0"/>
        </w:rPr>
        <w:t xml:space="preserve"> L I C A I T A L I A N 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kern w:val="0"/>
          <w:sz w:val="22"/>
          <w:szCs w:val="22"/>
        </w:rPr>
      </w:pPr>
      <w:r>
        <w:rPr>
          <w:rFonts w:ascii="Garamond" w:hAnsi="Garamond" w:cs="Garamond"/>
          <w:b/>
          <w:bCs/>
          <w:color w:val="000000"/>
          <w:kern w:val="0"/>
          <w:sz w:val="22"/>
          <w:szCs w:val="22"/>
        </w:rPr>
        <w:t>IN NOME DEL POPOLO ITALIANO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kern w:val="0"/>
          <w:sz w:val="25"/>
          <w:szCs w:val="25"/>
        </w:rPr>
      </w:pPr>
      <w:r>
        <w:rPr>
          <w:rFonts w:ascii="Garamond" w:hAnsi="Garamond" w:cs="Garamond"/>
          <w:b/>
          <w:bCs/>
          <w:color w:val="000000"/>
          <w:kern w:val="0"/>
          <w:sz w:val="25"/>
          <w:szCs w:val="25"/>
        </w:rPr>
        <w:t>Il Consiglio di Stato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kern w:val="0"/>
          <w:sz w:val="25"/>
          <w:szCs w:val="25"/>
        </w:rPr>
      </w:pPr>
      <w:r>
        <w:rPr>
          <w:rFonts w:ascii="Garamond" w:hAnsi="Garamond" w:cs="Garamond"/>
          <w:b/>
          <w:bCs/>
          <w:color w:val="000000"/>
          <w:kern w:val="0"/>
          <w:sz w:val="25"/>
          <w:szCs w:val="25"/>
        </w:rPr>
        <w:t>in sede giurisdizionale (Sezione Quarta)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ha pronunciato la presente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kern w:val="0"/>
          <w:sz w:val="25"/>
          <w:szCs w:val="25"/>
        </w:rPr>
      </w:pPr>
      <w:r>
        <w:rPr>
          <w:rFonts w:ascii="Garamond" w:hAnsi="Garamond" w:cs="Garamond"/>
          <w:b/>
          <w:bCs/>
          <w:color w:val="000000"/>
          <w:kern w:val="0"/>
          <w:sz w:val="25"/>
          <w:szCs w:val="25"/>
        </w:rPr>
        <w:t>SENTENZA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sul ricorso numero di registro generale 10315 del 2005, proposto da:</w:t>
      </w:r>
    </w:p>
    <w:p w:rsidR="00A8183E" w:rsidRDefault="00A8183E" w:rsidP="00A818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OMISSIS</w:t>
      </w:r>
      <w:r w:rsidR="00D226BB">
        <w:rPr>
          <w:rFonts w:ascii="Garamond" w:hAnsi="Garamond" w:cs="Garamond"/>
          <w:color w:val="000000"/>
          <w:kern w:val="0"/>
          <w:sz w:val="30"/>
          <w:szCs w:val="30"/>
        </w:rPr>
        <w:t xml:space="preserve">, rappresentata e difesa dagli avv.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OMISSIS</w:t>
      </w:r>
      <w:r>
        <w:rPr>
          <w:rFonts w:ascii="Garamond" w:hAnsi="Garamond" w:cs="Garamond"/>
          <w:b/>
          <w:bCs/>
          <w:color w:val="000000"/>
          <w:kern w:val="0"/>
          <w:sz w:val="30"/>
          <w:szCs w:val="30"/>
        </w:rPr>
        <w:t xml:space="preserve"> </w:t>
      </w:r>
    </w:p>
    <w:p w:rsidR="00D226BB" w:rsidRDefault="00D226BB" w:rsidP="00A818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00"/>
          <w:kern w:val="0"/>
          <w:sz w:val="30"/>
          <w:szCs w:val="30"/>
        </w:rPr>
      </w:pPr>
      <w:r>
        <w:rPr>
          <w:rFonts w:ascii="Garamond" w:hAnsi="Garamond" w:cs="Garamond"/>
          <w:b/>
          <w:bCs/>
          <w:color w:val="000000"/>
          <w:kern w:val="0"/>
          <w:sz w:val="30"/>
          <w:szCs w:val="30"/>
        </w:rPr>
        <w:t>contro</w:t>
      </w:r>
    </w:p>
    <w:p w:rsidR="00A8183E" w:rsidRDefault="00D226BB" w:rsidP="00A818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Comune di Genova, rappresentato e difeso dagli 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>AVV.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>OMISSIS</w:t>
      </w: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</w:p>
    <w:p w:rsidR="00D226BB" w:rsidRDefault="00D226BB" w:rsidP="00A818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Provincia di Genova, rappresentata e difesa dagli avv.</w:t>
      </w:r>
    </w:p>
    <w:p w:rsidR="00A8183E" w:rsidRDefault="00A8183E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OMISSIS</w:t>
      </w:r>
      <w:r>
        <w:rPr>
          <w:rFonts w:ascii="Garamond" w:hAnsi="Garamond" w:cs="Garamond"/>
          <w:b/>
          <w:bCs/>
          <w:color w:val="000000"/>
          <w:kern w:val="0"/>
          <w:sz w:val="30"/>
          <w:szCs w:val="30"/>
        </w:rPr>
        <w:t xml:space="preserve"> </w:t>
      </w:r>
    </w:p>
    <w:p w:rsidR="00A8183E" w:rsidRDefault="00A8183E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kern w:val="0"/>
          <w:sz w:val="30"/>
          <w:szCs w:val="30"/>
        </w:rPr>
      </w:pPr>
    </w:p>
    <w:p w:rsidR="00D226BB" w:rsidRDefault="00D226BB" w:rsidP="00A818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color w:val="000000"/>
          <w:kern w:val="0"/>
          <w:sz w:val="30"/>
          <w:szCs w:val="30"/>
        </w:rPr>
      </w:pPr>
      <w:r>
        <w:rPr>
          <w:rFonts w:ascii="Garamond" w:hAnsi="Garamond" w:cs="Garamond"/>
          <w:b/>
          <w:bCs/>
          <w:color w:val="000000"/>
          <w:kern w:val="0"/>
          <w:sz w:val="30"/>
          <w:szCs w:val="30"/>
        </w:rPr>
        <w:t>per la riforma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della sentenza del T.A.R. LIGURIA - GENOVA: SEZIONE I n. 01493/2004,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resa tra le parti, concernente rigetto istanza di sanatoria edilizia capannone a uso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artigianale.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Visti il ricorso in appello e i relativi </w:t>
      </w:r>
      <w:proofErr w:type="spellStart"/>
      <w:proofErr w:type="gramStart"/>
      <w:r>
        <w:rPr>
          <w:rFonts w:ascii="Garamond" w:hAnsi="Garamond" w:cs="Garamond"/>
          <w:color w:val="000000"/>
          <w:kern w:val="0"/>
          <w:sz w:val="30"/>
          <w:szCs w:val="30"/>
        </w:rPr>
        <w:t>allegati;Visto</w:t>
      </w:r>
      <w:proofErr w:type="spellEnd"/>
      <w:proofErr w:type="gramEnd"/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l'atto di costituzione in giudizio di Comune di Genova;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Viste le memorie difensive;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Visti tutti gli atti della causa;</w:t>
      </w:r>
    </w:p>
    <w:p w:rsidR="00A8183E" w:rsidRDefault="00D226BB" w:rsidP="00A818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Relatore nell'udienza pubblica del giorno 23 ottobre 2012 il 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>OMISSIS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</w:p>
    <w:p w:rsidR="00A8183E" w:rsidRPr="00A8183E" w:rsidRDefault="00A8183E" w:rsidP="00A818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kern w:val="0"/>
          <w:sz w:val="30"/>
          <w:szCs w:val="30"/>
        </w:rPr>
      </w:pPr>
    </w:p>
    <w:p w:rsidR="00D226BB" w:rsidRPr="00A8183E" w:rsidRDefault="00D226BB" w:rsidP="00A818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b/>
          <w:bCs/>
          <w:color w:val="000000"/>
          <w:kern w:val="0"/>
          <w:sz w:val="30"/>
          <w:szCs w:val="30"/>
        </w:rPr>
      </w:pPr>
      <w:r w:rsidRPr="00A8183E">
        <w:rPr>
          <w:rFonts w:ascii="Garamond" w:hAnsi="Garamond" w:cs="Garamond"/>
          <w:b/>
          <w:bCs/>
          <w:color w:val="000000"/>
          <w:kern w:val="0"/>
          <w:sz w:val="30"/>
          <w:szCs w:val="30"/>
        </w:rPr>
        <w:t>Ritenuto e considerato in fatto e diritto quanto segue.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FATTO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La signora 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>OMISSIS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è proprietaria di un capannone a uso artigianale nel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comune di Genova, nei pressi del torrente 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>OMISSIS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, per il quale ha presentato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istanza di sanatoria edilizia. Ritenendo sussistente, anche sulla scorta di una nota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della Provincia, un vincolo di inedificabilità assoluta in fascia di rispetto di corso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d’acqua pubblico, l’Amministrazione comunale ha rigettato l’istanza.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Il ricorso con cui la signora 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>OMISSIS</w:t>
      </w: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ha quindi impugnato il diniego è stato respinto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dal Tribunale amministrativo regionale per la Liguria, Sezione I, con sentenza 28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ottobre 2004, n. 1493, che ha preliminarmente disatteso l’eccezione di difetto di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giurisdizione in favore del Tribunale superiore delle acque pubbliche, formulata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dalla Provincia.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Contro la sentenza la signora 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>OMISSIS</w:t>
      </w: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ha interposto appello, deducendo sotto vari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profili la violazione di legge e l’eccesso di potere.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Il Comune e la Provincia di Genova si sono costituiti in giudizio per resistere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all’appello.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Le parti hanno presentato memorie.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lastRenderedPageBreak/>
        <w:t>All’udienza pubblica del 23 ottobre 2012, l’appello è stato chiamato e trattenuto in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decisione.</w:t>
      </w:r>
    </w:p>
    <w:p w:rsidR="00A8183E" w:rsidRDefault="00A8183E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 w:rsidRPr="00A8183E">
        <w:rPr>
          <w:rFonts w:ascii="Garamond" w:hAnsi="Garamond" w:cs="Garamond"/>
          <w:b/>
          <w:bCs/>
          <w:color w:val="000000"/>
          <w:kern w:val="0"/>
          <w:sz w:val="30"/>
          <w:szCs w:val="30"/>
        </w:rPr>
        <w:t>DIRITTO1.</w:t>
      </w: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Con il primo motivo dell’appello, la signora 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>OMISSIS</w:t>
      </w: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contesta la sentenza di primo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grado nella parte in cui afferma che l’analisi del tenore letterale dell’art. 96, lettera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f), del regio decreto 25 luglio 1904, n. 523, confermerebbe la natura di vincolo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inderogabile di inedificabilità ai sensi dell’art. 33 della legge 28 febbraio 1985, n. 47,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 xml:space="preserve"> t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ale da precludere il rilascio della concessione in sanatoria.</w:t>
      </w:r>
    </w:p>
    <w:p w:rsid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L’appello osserva che: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il vincolo di tutela dei corsi d’acqua ex art. 96 del </w:t>
      </w:r>
      <w:proofErr w:type="spellStart"/>
      <w:r>
        <w:rPr>
          <w:rFonts w:ascii="Garamond" w:hAnsi="Garamond" w:cs="Garamond"/>
          <w:color w:val="000000"/>
          <w:kern w:val="0"/>
          <w:sz w:val="30"/>
          <w:szCs w:val="30"/>
        </w:rPr>
        <w:t>r.d.</w:t>
      </w:r>
      <w:proofErr w:type="spellEnd"/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n. 523 del 1904 non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corrisponderebbe ad alcuno dei tipi elencati dall’art. 33 della legge n. 47 del 1985;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esso farebbe comunque salva la diversa disciplina posta dalle normative locali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;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il P.R.G. vigente al momento del diniego consentirebbe l’edificabilità anche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nell’area dell’appellante;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il Comune avrebbe assentito numerosi interventi edilizi nella medesima zona.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1.1 Il motivo non è fondato.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L’art. 96 citato elenca una serie di “lavori ed atti vietati in modo assoluto sulle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acque pubbliche, loro alvei, sponde e difese”.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Come afferma costantemente la giurisprudenza, il divieto di costruzione di opere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sugli argini dei corsi d’acqua, previsto dalla lettera f) dell’art. 96, è informato alla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ragione pubblicistica di assicurare non solo la possibilità di sfruttamento delle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acque demaniali, ma anche (e soprattutto) il libero deflusso delle acque scorrenti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 xml:space="preserve">nei fiumi, torrenti, canali e scolatoi pubblici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(cfr. Cass. civ., SS.UU., 30 luglio 2009,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n. 17784) e </w:t>
      </w: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ha carattere legale e inderogabile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: ne segue che le opere costruite in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violazione di tale divieto ricadono nella previsione dell’art. 33 della legge n. 47 del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1985 e non sono pertanto suscettibili di sanatoria (cfr. per tutte Cons. Stato, Sez.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V, 26 marzo 2009, n. 1814; Id., Sez. IV, 12 febbraio 2010, n. 772; Id., Sez. IV, 22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giugno 2011, n. 3781; </w:t>
      </w:r>
      <w:proofErr w:type="spellStart"/>
      <w:r>
        <w:rPr>
          <w:rFonts w:ascii="Garamond" w:hAnsi="Garamond" w:cs="Garamond"/>
          <w:color w:val="000000"/>
          <w:kern w:val="0"/>
          <w:sz w:val="30"/>
          <w:szCs w:val="30"/>
        </w:rPr>
        <w:t>Trib</w:t>
      </w:r>
      <w:proofErr w:type="spellEnd"/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. </w:t>
      </w:r>
      <w:proofErr w:type="spellStart"/>
      <w:r>
        <w:rPr>
          <w:rFonts w:ascii="Garamond" w:hAnsi="Garamond" w:cs="Garamond"/>
          <w:color w:val="000000"/>
          <w:kern w:val="0"/>
          <w:sz w:val="30"/>
          <w:szCs w:val="30"/>
        </w:rPr>
        <w:t>Sup</w:t>
      </w:r>
      <w:proofErr w:type="spellEnd"/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. acque </w:t>
      </w:r>
      <w:proofErr w:type="spellStart"/>
      <w:r>
        <w:rPr>
          <w:rFonts w:ascii="Garamond" w:hAnsi="Garamond" w:cs="Garamond"/>
          <w:color w:val="000000"/>
          <w:kern w:val="0"/>
          <w:sz w:val="30"/>
          <w:szCs w:val="30"/>
        </w:rPr>
        <w:t>pubbl</w:t>
      </w:r>
      <w:proofErr w:type="spellEnd"/>
      <w:r>
        <w:rPr>
          <w:rFonts w:ascii="Garamond" w:hAnsi="Garamond" w:cs="Garamond"/>
          <w:color w:val="000000"/>
          <w:kern w:val="0"/>
          <w:sz w:val="30"/>
          <w:szCs w:val="30"/>
        </w:rPr>
        <w:t>., 15 marzo 2011, n. 35; ivi riferimenti</w:t>
      </w:r>
    </w:p>
    <w:p w:rsid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ulteriori).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proofErr w:type="gramStart"/>
      <w:r>
        <w:rPr>
          <w:rFonts w:ascii="Garamond" w:hAnsi="Garamond" w:cs="Garamond"/>
          <w:color w:val="000000"/>
          <w:kern w:val="0"/>
          <w:sz w:val="30"/>
          <w:szCs w:val="30"/>
        </w:rPr>
        <w:t>E’</w:t>
      </w:r>
      <w:proofErr w:type="gramEnd"/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ben vero che la lettera f) dell’art. 96, che qui viene in questione, commisura il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divieto alla distanza “stabilita dalle discipline vigenti nelle diverse località” e in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mancanza di queste lo stabilisce alla distanza “minore di metri quattro per le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piantagioni e </w:t>
      </w:r>
      <w:proofErr w:type="spellStart"/>
      <w:r>
        <w:rPr>
          <w:rFonts w:ascii="Garamond" w:hAnsi="Garamond" w:cs="Garamond"/>
          <w:color w:val="000000"/>
          <w:kern w:val="0"/>
          <w:sz w:val="30"/>
          <w:szCs w:val="30"/>
        </w:rPr>
        <w:t>smovimento</w:t>
      </w:r>
      <w:proofErr w:type="spellEnd"/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del terreno e di metri dieci per le fabbriche e per gli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scavi”.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Senonché – </w:t>
      </w: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come è stato più volte affermato in giurisprudenza – alla luce del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generale divieto di costruzione di opere in prossimità degli argini dei corsi d’acqua,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il rinvio alla normativa locale assume carattere eccezionale.</w:t>
      </w: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Tale normativa, per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prevalere sulla norma generale, deve avere carattere specifico, ossia essere una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normativa espressamente dedicata alla regolamentazione della tutela delle acque e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alla distanza dagli argini delle costruzioni, che tenga esplicitamente conto della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regola generale espressa dalla normativa statale e delle peculiari condizioni delle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acque e degli argini che la norma locale prende in considerazione al fine di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lastRenderedPageBreak/>
        <w:t>stabilirvi l'eventuale deroga</w:t>
      </w: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. </w:t>
      </w: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Nulla vieta che la norma locale sia espressa anche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mediante l'utilizzo di uno strumento urbanistico, come può essere il piano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regolatore generale, ma occorre che tale strumento contenga una norma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esplicitamente dedicata alla regolamentazione delle distanze delle costruzioni dagli</w:t>
      </w:r>
    </w:p>
    <w:p w:rsidR="00D226BB" w:rsidRPr="00A8183E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  <w:u w:val="single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argini anche in eventuale deroga alla disposizione della lettera f) dell’art. 96, in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relazione alla specifica condizione locale delle acque di cui trattasi</w:t>
      </w: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(cfr. Cass. civ.,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SS. UU., 18 luglio 2008, n. 19813; Cons. Stato, Sez. IV, 29 aprile 2011, n. 2544).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In mancanza di una difforme disciplina sul punto specifico nel P.R.G. dell’epoca,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deve ritenersi non sussistere una normativa locale derogatoria di quella generale,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alla quale dunque occorre fare riferimento.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Neppure giova alla tesi, infine, il richiamo alla presenza in zona di altri manufatti,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trattandosi di circostanza che, genericamente affermata più che effettivamente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dimostrata, andrebbe comunque esaminata con riguardo ai singoli casi concreti.2. Il secondo motivo richiama la legge regionale 28 gennaio 1993, n. 9, che, nel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sostituire le disposizioni del </w:t>
      </w:r>
      <w:proofErr w:type="spellStart"/>
      <w:r>
        <w:rPr>
          <w:rFonts w:ascii="Garamond" w:hAnsi="Garamond" w:cs="Garamond"/>
          <w:color w:val="000000"/>
          <w:kern w:val="0"/>
          <w:sz w:val="30"/>
          <w:szCs w:val="30"/>
        </w:rPr>
        <w:t>r.d.</w:t>
      </w:r>
      <w:proofErr w:type="spellEnd"/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n. 523 del 1904, affida la tutela dei corsi d’acqua 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un sistema di piani e solo in salvaguardia prevede distanze minime, consentendone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espressamente la deroga con autorizzazione dell’autorità competente in materia di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polizia idraulica. La sentenza avrebbe equivocato il motivo del ricorso di primo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grado, che invocava la normativa regionale per mettere in evidenza come il diniego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del Comune si fondasse su un presupposto normativo non più applicabile alla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fattispecie, affermando invece che l’Amministrazione non avrebbe potuto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concedere comunque la deroga attesa l’esiguità della distanza della costruzione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rispetto al torrente.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2.1 Il motivo non ha pregio.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L’art. 26 della legge regionale n. 9 del 1993 stabilisce un regime transitorio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destinato a valere sino all’approvazione dei piani di bacino.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In particolare: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indica le opere e le attività che, nei corsi d’acqua pubblici, non sono autorizzabili in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relazione alla loro rilevanza o impatto ambientale (comma 1);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elenca gli interventi specificamente vietati, con limitate possibilità di deroghe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(comma 2);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permette eccezioni ai divieti di cui ai commi precedenti, attribuendo un potere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autorizzatorio all’autorità competente in materia di polizia idraulica (commi 3 e 3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bis).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Nel caso di specie, non è contestato che il torrente sulla sponda del quale si trova il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manufatto sia un “corso d’acqua arginato” (nulla obietta al riguardo l’appellante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nella memoria di replica del 1° ottobre scorso) e ricada dunque nella previsione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della lettera c) del comma 2. Poiché in tal caso la distanza per le nuove edificazioni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è posta a dieci metri, la disciplina finisce per coincidere con quella dell’art. 96,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lettera f), più volte citato. </w:t>
      </w: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La normativa regionale, lungi dal sostituire quella</w:t>
      </w:r>
      <w:r w:rsidR="00A8183E"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 xml:space="preserve"> </w:t>
      </w:r>
      <w:r w:rsidRPr="00A8183E">
        <w:rPr>
          <w:rFonts w:ascii="Garamond" w:hAnsi="Garamond" w:cs="Garamond"/>
          <w:color w:val="000000"/>
          <w:kern w:val="0"/>
          <w:sz w:val="30"/>
          <w:szCs w:val="30"/>
          <w:u w:val="single"/>
        </w:rPr>
        <w:t>nazionale</w:t>
      </w: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- come avverrebbe, ai sensi dell’art. 34 della legge regionale n. 9 del 1993,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in caso di contrasto - sostanzialmente non escludono contrasta con quella,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lastRenderedPageBreak/>
        <w:t>cosicché non è illegittimo il provvedimento del Comune nella parte in cui richiama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quella nazionale a fondamento del diniego.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All’inverso, anche ad ammettere, in via di semplice ipotesi, l’applicabilità alla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fattispecie della lettera b) del comma 2 dell’art.26 ricordato, in luogo del comma c),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sarebbe palesemente assurdo dichiarare illegittimo il diniego medesimo sulla base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di (quella che può essere tutt’al più) una mera svista, quando è indubbio che il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manufatto è posto direttamente sull’argine del torrente e non rispetta dunque la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distanza minima di tre metri prevista dalla disposizione. Nello stato di fatto, il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diniego di sanatoria era comunque atto dovuto: mancando un concreto potere di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scelta dell’Amministrazione, il diniego stesso, in applicazione del principio di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conservazione degli atti, non potrebbe perciò essere annullato.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Né queste conclusioni possono essere contraddette sulla base del contenuto della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nota comunale del 1° marzo 2004, che, così isolatamente considerata, appare di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difficile valutazione e sembra comunque estranea al procedimento in discussione.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3. Il terzo motivo dell’appello censura la disparità di trattamento e la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contraddittorietà rispetto ad altre situazioni analoghe, risolte favorevolmente, che il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T.A.R. avrebbe potuto accertare mediante acquisizione documentale.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3.1 Il motivo non è fondato.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Come rilevato sub 1.1, l’asserita disparità di trattamento è genericamente affermata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e non effettivamente dimostrata dalla parte privata, che non adempie all’onere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probatorio che su di essa grava.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Peraltro, anche se la prova fosse data, questa non gioverebbe all’appellante. Infatti,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il provvedimento di diniego di condono edilizio costituisce espressione di potere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vincolato rispetto ai presupposti normativi richiesti e dei quali deve farsi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applicazione, con la conseguenza che in ordine al medesimo non possono venire</w:t>
      </w:r>
      <w:r w:rsidR="00A8183E"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in rilievo profili di eccesso di potere quali la disparità di trattamento, propri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dell'esercizio del potere discrezionale: l’eventuale rilascio del condono registratosi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in analoghi casi di abusi non condonabili, e quindi suscettibili di annullamento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giurisdizionale o amministrativo, non può di per sé legittimare la pretesa a identico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trattamento (cfr. Cons. Stato, Sez. IV, 14 aprile 2010, n. 2105; Id., Sez. IV, 24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febbraio 2011, n. 1235).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4. Il quarto motivo dell’appello contesta che il vincolo sia stato imposto prima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della realizzazione dell’opera. Ciò perché: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gli interventi sull’immobile successivi al 1920 (data dell’apposizione del vincolo)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non avrebbero comportato scavi o fabbriche nuove, tali da incidere sul regime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proofErr w:type="gramStart"/>
      <w:r>
        <w:rPr>
          <w:rFonts w:ascii="Garamond" w:hAnsi="Garamond" w:cs="Garamond"/>
          <w:color w:val="000000"/>
          <w:kern w:val="0"/>
          <w:sz w:val="30"/>
          <w:szCs w:val="30"/>
        </w:rPr>
        <w:t>della acque</w:t>
      </w:r>
      <w:proofErr w:type="gramEnd"/>
      <w:r>
        <w:rPr>
          <w:rFonts w:ascii="Garamond" w:hAnsi="Garamond" w:cs="Garamond"/>
          <w:color w:val="000000"/>
          <w:kern w:val="0"/>
          <w:sz w:val="30"/>
          <w:szCs w:val="30"/>
        </w:rPr>
        <w:t>;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non sarebbe dimostrato che il torrente </w:t>
      </w:r>
      <w:r w:rsidR="008663D7">
        <w:rPr>
          <w:rFonts w:ascii="Garamond" w:hAnsi="Garamond" w:cs="Garamond"/>
          <w:color w:val="000000"/>
          <w:kern w:val="0"/>
          <w:sz w:val="30"/>
          <w:szCs w:val="30"/>
        </w:rPr>
        <w:t>OMISSIS</w:t>
      </w: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fosse inserito nell’elenco delle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acque pubbliche. Su questa censura il giudice di primo grado avrebbe omesso di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pronunziarsi.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4.1 Nessuna delle due articolazioni del motivo è fondata.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Premesso che non è contestato che l’apposizione del vincolo risalga al 1920, non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ha pregio la prima, perché la stessa appellante ammette che “nel 1919 il terreno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lastRenderedPageBreak/>
        <w:t xml:space="preserve">venne concesso alla Cooperativa </w:t>
      </w:r>
      <w:r w:rsidR="008663D7">
        <w:rPr>
          <w:rFonts w:ascii="Garamond" w:hAnsi="Garamond" w:cs="Garamond"/>
          <w:color w:val="000000"/>
          <w:kern w:val="0"/>
          <w:sz w:val="30"/>
          <w:szCs w:val="30"/>
        </w:rPr>
        <w:t>OMISSIS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, che vi installò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una tettoia ad uso officina. Successivi interventi, gli ultimi dei quali furono eseguiti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negli anni ’50 ed ultimati presumibilmente nel 1960, hanno attribuito al manufatto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la conformazione attuale”.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La conformazione attuale del manufatto è attestata dalla perizia giurata in atti, dalla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quale appare trattarsi di un vero e proprio capannone industriale, strutturalmente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ben diverso da una semplice tettoia, eseguito nel 1960.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4.2 Quanto poi all’ulteriore profilo, esso è smentito dalla circostanza che la nota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della Provincia di Genova del 20 marzo 1997, espressamente richiamata dal</w:t>
      </w:r>
      <w:r w:rsidR="008663D7"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provvedimento di diniego, dichiara che il torrente </w:t>
      </w:r>
      <w:r w:rsidR="008663D7">
        <w:rPr>
          <w:rFonts w:ascii="Garamond" w:hAnsi="Garamond" w:cs="Garamond"/>
          <w:color w:val="000000"/>
          <w:kern w:val="0"/>
          <w:sz w:val="30"/>
          <w:szCs w:val="30"/>
        </w:rPr>
        <w:t>OMISSIS</w:t>
      </w: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 è iscritto al n. 42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del primo elenco delle acque pubbliche della Provincia stessa dal 18 gennaio 1920.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5. Con il quinto motivo, l’appellante censura la sentenza impugnata nella parte in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cui, rispetto alla motivazione del provvedimento di diniego, considera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sostanzialmente irrilevante il richiamo al piano di bacino stralcio del torrente, in via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di approvazione.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Il richiamo a un presunto contrasto avrebbe invece acquisito rilievo determinante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alla luce della nuova normativa della Regione Liguria, prima ricordata, che rinvia ai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piani di bacino e, nelle more, pone una disciplina transitoria.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Il contrasto, peraltro, sarebbe smentito dalla documentazione in atti.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Inoltre l’eventuale contrasto sarebbe irrilevante in sede di valutazione della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sanabilità di un’opera ex art. 31 della legge n. 47 del 1985, essendo il piano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posteriore all’opera; la sanatoria ex art. 31 prescinderebbe comunque dalla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conformità agli strumenti urbanistici; il piano, comunque, non è stato ancora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approvato; il richiamo al piano dimostrerebbe che la determinazione del Comune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si sarebbe formata sulla base di elementi estranei al potere esercitato.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5.1 La censura non ha fondamento.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Come ha correttamente rilevato il T.A.R., nell’economia della decisione di diniego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 xml:space="preserve">il piano di bacino è indicato ad </w:t>
      </w:r>
      <w:proofErr w:type="spellStart"/>
      <w:r>
        <w:rPr>
          <w:rFonts w:ascii="Garamond" w:hAnsi="Garamond" w:cs="Garamond"/>
          <w:color w:val="000000"/>
          <w:kern w:val="0"/>
          <w:sz w:val="30"/>
          <w:szCs w:val="30"/>
        </w:rPr>
        <w:t>adiuvandum</w:t>
      </w:r>
      <w:proofErr w:type="spellEnd"/>
      <w:r>
        <w:rPr>
          <w:rFonts w:ascii="Garamond" w:hAnsi="Garamond" w:cs="Garamond"/>
          <w:color w:val="000000"/>
          <w:kern w:val="0"/>
          <w:sz w:val="30"/>
          <w:szCs w:val="30"/>
        </w:rPr>
        <w:t>, al solo fine di attestare anche de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futuro la rilevanza del vincolo.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Non ha poi rilievo il richiamo all’art. 31 della legge n. 47 del 1985, posto che –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come prima detto – nella fattispecie trova applicazione l’art. 33, dal quale discende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l’esclusione dalla sanatoria dell’opera in questione.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6. Il sesto motivo fa leva sulla nota della Provincia, richiamata dal Comune nel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provvedimento impugnato. Non sarebbe chiaro quale peso avrebbe dato il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Comune a tale nota; condividendo comunque i contenuti (vincolo di inedificabilità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assoluta; qualificazione del torrente come acqua pubblica; contrasto con il piano in</w:t>
      </w:r>
      <w:r w:rsidR="008663D7"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itinere) di un atto viziato per le ragioni esposte nei motivi prima richiamati, il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diniego sarebbe affetto anche da illegittimità derivata.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Su tale motivo il T.A.R. avrebbe omesso di pronunciare.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6.1 Poiché a dar conto della legittimità della nota valgono le considerazioni svolte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prima a proposito del diniego comunale, il vizio di illegittimità derivata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evidentemente non sussiste.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lastRenderedPageBreak/>
        <w:t>7. Il settimo motivo ripropone le censure di difetto di motivazione istruttoria 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contraddittorio, mancata comunicazione di avvio del procedimento, anche in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relazione all’interesse consolidato dell’appellante, mancata acquisizione del parere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della commissione edilizia.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7.1 Neppure questo motivo è fondato: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il diniego appare ampiamente motivato (peraltro il vincolo di inedificabilità, nei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fatti accertato, è un fattore assolutamente insuperabile rispetto al rilascio della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sanatoria; la situazione di abuso che ne deriva non può costituire fondamento di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alcuna pretesa tutelabile per il privato);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la comunicazione dell’avvio del procedimento non era necessaria, trattandosi di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procedimento a istanza di parte (cfr. per tutte Cons. Stato, Sez. VI, 8 giugno 2010,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n. 3624) e di provvedimento a contenuto vincolato, rispetto al quale l’interessata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non avrebbe potuto apportare alcun contributo partecipativo (cfr. per tutte Cons.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Stato, Sez. IV, 7 settembre 2011, n. 5028; Id, Sez. IV, 17 settembre 2012, n. 4925);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non era necessario il parere della commissione edilizia. La specialità del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procedimento di condono edilizio rispetto all'ordinario procedimento di rilascio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della concessione a edificare e l'assenza di una specifica previsione in ordine alla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sua necessità rendono, per il rilascio della concessione in sanatoria, il parere della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Commissione edilizia non obbligatorio, ma, tutt'al più, facoltativo, al fine di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acquisire eventuali informazioni e valutazioni con riguardo a particolari e sporadici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casi incerti e complessi, in assenza dei quali il rilascio della concessione in sanatoria</w:t>
      </w:r>
      <w:r w:rsidR="008663D7">
        <w:rPr>
          <w:rFonts w:ascii="Garamond" w:hAnsi="Garamond" w:cs="Garamond"/>
          <w:color w:val="000000"/>
          <w:kern w:val="0"/>
          <w:sz w:val="30"/>
          <w:szCs w:val="30"/>
        </w:rPr>
        <w:t xml:space="preserve"> </w:t>
      </w:r>
      <w:r>
        <w:rPr>
          <w:rFonts w:ascii="Garamond" w:hAnsi="Garamond" w:cs="Garamond"/>
          <w:color w:val="000000"/>
          <w:kern w:val="0"/>
          <w:sz w:val="30"/>
          <w:szCs w:val="30"/>
        </w:rPr>
        <w:t>è subordinato alla semplice verifica dei presupposti e condizioni espressamente 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chiaramente fissati dal legislatore (cfr. da ultimo Cons. Stato, Sez. IV, 3 agosto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2010, n. 5156; Id., Sez. IV, 6 luglio 2012, n. 3969; ivi riferimenti ulteriori). Che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nella specie non sussistessero particolari condizioni, tali da rendere complessa 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difficoltosa la valutazione del Comune, è circostanza già emersa nel corso della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disamina dei precedenti motivi dell’appello; dunque, non v'erano spazi per poter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invocare utilmente l'intervento dell'organo consultivo collegiale.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8. L’appello ripropone, infine, un motivo aggiunto formulato in primo grado e in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quella sede giudicato tardivo e comunque infondato nel merito.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In tesi, il Comune, nel corso dell’istruttoria, sarebbe giunto alla conclusione che il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vincolo in questione fosse da ricondursi alla tipologia prevista dall’art. 32 della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legge n. 47 del 1985.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L’appello contesta anzitutto la dichiarata tardività (la nota comunale rivolta alla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Provincia, di cui si discute, avrebbe dovuto essere resa disponibile all’interessata).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Sottolinea poi il contrasto tra premessa istruttoria e provvedimento conclusivo del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procedimento, che vizierebbe l’atto di diniego. Censura infine i comportamenti di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Comune e Provincia, ritenuti contraddittori, in quanto l’uno avrebbe richiesto un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parere ex art. 32 della legge n. 47 del 1985 e l’altra avrebbe reso una pronuncia non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pertinente; da ciò deriverebbe una manifesta illogicità e incongruità. Il T.A.R.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avrebbe omesso di valutare quest’ultimo profilo.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8.1 Il motivo non è fondato.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lastRenderedPageBreak/>
        <w:t>In disparte la questione relativa all’ammissibilità del motivo aggiunto, va detto che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la nota comunale va correttamente interpretata nel senso di porre l’alternativa tra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l’applicabilità alla domanda di sanatoria dell’art. 32 o dell’art. 33 della legge n. 47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del 1985. Alternativa che la Provincia, visti gli elenchi delle acque pubbliche, ha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necessariamente sciolto nel senso della inedificabilità assoluta e quindi della</w:t>
      </w:r>
    </w:p>
    <w:p w:rsidR="008663D7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impossibilità di sanatoria dell’opera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9. Dalle considerazioni che precedono discende che l’appello è infondato e va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perciò respinto.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Le spese seguono la soccombenza, conformemente alla legge, e sono liquidate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come da dispositivo.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P.Q.M.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Il Consiglio di Stato in sede giurisdizionale (Sezione Quarta), definitivamente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pronunciando sull'appello, come in epigrafe proposto, lo respinge e, per l'effetto,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conferma la sentenza impugnata.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Condanna la parte appellante a corrispondere al Comune di Genova gli importi di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euro 5.000,00 (cinquemila/00) per onorari e euro 1.500,00 (millecinquecento/00)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per spese, oltre agli accessori di legge; alla Provincia di Genova gli importi di euro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5.000,00 (cinquemila/00) per onorari e euro 1.500,00 (millecinquecento/00) per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spese, oltre agli accessori di legge.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Ordina che la presente sentenza sia eseguita dall'autorità amministrativa.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Così deciso in Roma nella camera di consiglio del giorno 23 ottobre 2012 con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l'intervento dei magistrati:</w:t>
      </w:r>
    </w:p>
    <w:p w:rsidR="008663D7" w:rsidRDefault="008663D7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OMISSIS</w:t>
      </w: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</w:rPr>
        <w:t xml:space="preserve"> 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</w:rPr>
        <w:t>L'ESTENSORE IL PRESIDENTE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DEPOSITATA IN SEGRETERIA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Il 05/11/2012</w:t>
      </w:r>
    </w:p>
    <w:p w:rsidR="00D226BB" w:rsidRDefault="00D226BB" w:rsidP="00D226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Garamond"/>
          <w:color w:val="000000"/>
          <w:kern w:val="0"/>
          <w:sz w:val="30"/>
          <w:szCs w:val="30"/>
        </w:rPr>
      </w:pPr>
      <w:r>
        <w:rPr>
          <w:rFonts w:ascii="Garamond" w:hAnsi="Garamond" w:cs="Garamond"/>
          <w:color w:val="000000"/>
          <w:kern w:val="0"/>
          <w:sz w:val="30"/>
          <w:szCs w:val="30"/>
        </w:rPr>
        <w:t>IL SEGRETARIO</w:t>
      </w:r>
    </w:p>
    <w:p w:rsidR="00D226BB" w:rsidRPr="00D226BB" w:rsidRDefault="00D226BB" w:rsidP="00D226BB">
      <w:pPr>
        <w:rPr>
          <w:rFonts w:ascii="Times New Roman" w:eastAsia="Times New Roman" w:hAnsi="Times New Roman" w:cs="Times New Roman"/>
          <w:kern w:val="0"/>
          <w:lang w:val="en-US" w:eastAsia="it-IT"/>
          <w14:ligatures w14:val="none"/>
        </w:rPr>
      </w:pPr>
      <w:r w:rsidRPr="00D226BB">
        <w:rPr>
          <w:rFonts w:ascii="Garamond" w:hAnsi="Garamond" w:cs="Garamond"/>
          <w:color w:val="000000"/>
          <w:kern w:val="0"/>
          <w:sz w:val="30"/>
          <w:szCs w:val="30"/>
          <w:lang w:val="en-US"/>
        </w:rPr>
        <w:t xml:space="preserve">(Art. 89, co. 3, cod. proc. </w:t>
      </w:r>
      <w:proofErr w:type="spellStart"/>
      <w:r w:rsidRPr="00D226BB">
        <w:rPr>
          <w:rFonts w:ascii="Garamond" w:hAnsi="Garamond" w:cs="Garamond"/>
          <w:color w:val="000000"/>
          <w:kern w:val="0"/>
          <w:sz w:val="30"/>
          <w:szCs w:val="30"/>
          <w:lang w:val="en-US"/>
        </w:rPr>
        <w:t>amm</w:t>
      </w:r>
      <w:proofErr w:type="spellEnd"/>
      <w:r w:rsidRPr="00D226BB">
        <w:rPr>
          <w:rFonts w:ascii="Garamond" w:hAnsi="Garamond" w:cs="Garamond"/>
          <w:color w:val="000000"/>
          <w:kern w:val="0"/>
          <w:sz w:val="30"/>
          <w:szCs w:val="30"/>
          <w:lang w:val="en-US"/>
        </w:rPr>
        <w:t>.)</w:t>
      </w:r>
    </w:p>
    <w:p w:rsidR="00DB0E02" w:rsidRPr="00D226BB" w:rsidRDefault="00DB0E02">
      <w:pPr>
        <w:rPr>
          <w:lang w:val="en-US"/>
        </w:rPr>
      </w:pPr>
    </w:p>
    <w:sectPr w:rsidR="00DB0E02" w:rsidRPr="00D226BB" w:rsidSect="00AB7398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BB"/>
    <w:rsid w:val="00277042"/>
    <w:rsid w:val="00530289"/>
    <w:rsid w:val="00605ABD"/>
    <w:rsid w:val="00863FE5"/>
    <w:rsid w:val="008663D7"/>
    <w:rsid w:val="00910032"/>
    <w:rsid w:val="00915DAD"/>
    <w:rsid w:val="009B7EC3"/>
    <w:rsid w:val="00A535F3"/>
    <w:rsid w:val="00A8183E"/>
    <w:rsid w:val="00AB7398"/>
    <w:rsid w:val="00C30939"/>
    <w:rsid w:val="00D226BB"/>
    <w:rsid w:val="00DB0E02"/>
    <w:rsid w:val="00E051CD"/>
    <w:rsid w:val="00F4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B1469"/>
  <w15:chartTrackingRefBased/>
  <w15:docId w15:val="{00FADC4A-7053-AD40-AE2C-035EE6AC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lucchi</dc:creator>
  <cp:keywords/>
  <dc:description/>
  <cp:lastModifiedBy>paolo lucchi</cp:lastModifiedBy>
  <cp:revision>2</cp:revision>
  <dcterms:created xsi:type="dcterms:W3CDTF">2024-11-21T16:30:00Z</dcterms:created>
  <dcterms:modified xsi:type="dcterms:W3CDTF">2024-11-21T16:44:00Z</dcterms:modified>
</cp:coreProperties>
</file>